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6116" w14:textId="67792E7F" w:rsidR="00515B76" w:rsidRPr="00427A31" w:rsidRDefault="00B57AA7" w:rsidP="00B57AA7">
      <w:pPr>
        <w:jc w:val="center"/>
        <w:rPr>
          <w:b/>
          <w:bCs/>
          <w:sz w:val="36"/>
          <w:szCs w:val="36"/>
          <w:lang w:val="en-GB"/>
        </w:rPr>
      </w:pPr>
      <w:r w:rsidRPr="00427A31">
        <w:rPr>
          <w:b/>
          <w:bCs/>
          <w:sz w:val="36"/>
          <w:szCs w:val="36"/>
          <w:lang w:val="en-GB"/>
        </w:rPr>
        <w:t>D2Grids CO2 calculation tool</w:t>
      </w:r>
    </w:p>
    <w:p w14:paraId="2EF9B6FF" w14:textId="027BF87F" w:rsidR="00B57AA7" w:rsidRPr="00427A31" w:rsidRDefault="00B57AA7" w:rsidP="00B57AA7">
      <w:pPr>
        <w:pStyle w:val="Paragraphedeliste"/>
        <w:rPr>
          <w:lang w:val="en-GB"/>
        </w:rPr>
      </w:pPr>
    </w:p>
    <w:p w14:paraId="68F8D363" w14:textId="36D531CB" w:rsidR="00B57AA7" w:rsidRPr="00427A31" w:rsidRDefault="00B57AA7" w:rsidP="00B57AA7">
      <w:pPr>
        <w:pStyle w:val="Paragraphedeliste"/>
        <w:numPr>
          <w:ilvl w:val="0"/>
          <w:numId w:val="1"/>
        </w:numPr>
        <w:rPr>
          <w:lang w:val="en-GB"/>
        </w:rPr>
      </w:pPr>
      <w:r w:rsidRPr="00427A31">
        <w:rPr>
          <w:lang w:val="en-GB"/>
        </w:rPr>
        <w:t>Aim</w:t>
      </w:r>
    </w:p>
    <w:p w14:paraId="4F3297D8" w14:textId="1F61DCF4" w:rsidR="007643D9" w:rsidRPr="00427A31" w:rsidRDefault="00A905D3" w:rsidP="007643D9">
      <w:pPr>
        <w:rPr>
          <w:lang w:val="en-GB"/>
        </w:rPr>
      </w:pPr>
      <w:r w:rsidRPr="00427A31">
        <w:rPr>
          <w:lang w:val="en-GB"/>
        </w:rPr>
        <w:t>This simple calculation model is designed to</w:t>
      </w:r>
      <w:r w:rsidR="007643D9" w:rsidRPr="00427A31">
        <w:rPr>
          <w:lang w:val="en-GB"/>
        </w:rPr>
        <w:t>:</w:t>
      </w:r>
    </w:p>
    <w:p w14:paraId="2A01BAA4" w14:textId="3352D558" w:rsidR="007643D9" w:rsidRPr="00427A31" w:rsidRDefault="007643D9" w:rsidP="005C30E4">
      <w:pPr>
        <w:pStyle w:val="Paragraphedeliste"/>
        <w:numPr>
          <w:ilvl w:val="0"/>
          <w:numId w:val="2"/>
        </w:numPr>
        <w:rPr>
          <w:lang w:val="en-GB"/>
        </w:rPr>
      </w:pPr>
      <w:r w:rsidRPr="00427A31">
        <w:rPr>
          <w:lang w:val="en-GB"/>
        </w:rPr>
        <w:t>Calculat</w:t>
      </w:r>
      <w:r w:rsidR="00F7215F" w:rsidRPr="00427A31">
        <w:rPr>
          <w:lang w:val="en-GB"/>
        </w:rPr>
        <w:t>e</w:t>
      </w:r>
      <w:r w:rsidRPr="00427A31">
        <w:rPr>
          <w:lang w:val="en-GB"/>
        </w:rPr>
        <w:t xml:space="preserve"> the carbon footprint of </w:t>
      </w:r>
      <w:r w:rsidRPr="00427A31">
        <w:rPr>
          <w:lang w:val="en-GB"/>
        </w:rPr>
        <w:t xml:space="preserve">a </w:t>
      </w:r>
      <w:r w:rsidRPr="00427A31">
        <w:rPr>
          <w:lang w:val="en-GB"/>
        </w:rPr>
        <w:t>5th generation network</w:t>
      </w:r>
      <w:r w:rsidR="00890C64">
        <w:rPr>
          <w:lang w:val="en-GB"/>
        </w:rPr>
        <w:t xml:space="preserve"> and its carbon intensity</w:t>
      </w:r>
      <w:r w:rsidR="00890C64">
        <w:rPr>
          <w:rStyle w:val="Appelnotedebasdep"/>
          <w:lang w:val="en-GB"/>
        </w:rPr>
        <w:footnoteReference w:id="1"/>
      </w:r>
    </w:p>
    <w:p w14:paraId="3B56B6C1" w14:textId="77777777" w:rsidR="007643D9" w:rsidRPr="00427A31" w:rsidRDefault="007643D9" w:rsidP="009D7F72">
      <w:pPr>
        <w:pStyle w:val="Paragraphedeliste"/>
        <w:numPr>
          <w:ilvl w:val="0"/>
          <w:numId w:val="2"/>
        </w:numPr>
        <w:rPr>
          <w:lang w:val="en-GB"/>
        </w:rPr>
      </w:pPr>
      <w:r w:rsidRPr="007643D9">
        <w:rPr>
          <w:lang w:val="en-GB"/>
        </w:rPr>
        <w:t>Compare 5th generation networks to other heating/cooling solutions</w:t>
      </w:r>
    </w:p>
    <w:p w14:paraId="0A626290" w14:textId="166C86B2" w:rsidR="0013072A" w:rsidRPr="00427A31" w:rsidRDefault="007643D9" w:rsidP="007643D9">
      <w:pPr>
        <w:pStyle w:val="Paragraphedeliste"/>
        <w:numPr>
          <w:ilvl w:val="0"/>
          <w:numId w:val="2"/>
        </w:numPr>
        <w:rPr>
          <w:lang w:val="en-GB"/>
        </w:rPr>
      </w:pPr>
      <w:r w:rsidRPr="007643D9">
        <w:rPr>
          <w:lang w:val="en-GB"/>
        </w:rPr>
        <w:t xml:space="preserve">Calculate </w:t>
      </w:r>
      <w:r w:rsidR="00F7215F" w:rsidRPr="00427A31">
        <w:rPr>
          <w:lang w:val="en-GB"/>
        </w:rPr>
        <w:t>the impact of a 5G grid improvements</w:t>
      </w:r>
      <w:r w:rsidR="00490DB7">
        <w:rPr>
          <w:lang w:val="en-GB"/>
        </w:rPr>
        <w:t xml:space="preserve"> or extension</w:t>
      </w:r>
      <w:r w:rsidR="00F7215F" w:rsidRPr="00427A31">
        <w:rPr>
          <w:lang w:val="en-GB"/>
        </w:rPr>
        <w:t xml:space="preserve"> on </w:t>
      </w:r>
      <w:r w:rsidRPr="007643D9">
        <w:rPr>
          <w:lang w:val="en-GB"/>
        </w:rPr>
        <w:t xml:space="preserve">future </w:t>
      </w:r>
      <w:r w:rsidR="00F7215F" w:rsidRPr="00427A31">
        <w:rPr>
          <w:lang w:val="en-GB"/>
        </w:rPr>
        <w:t xml:space="preserve">GHG </w:t>
      </w:r>
      <w:r w:rsidRPr="007643D9">
        <w:rPr>
          <w:lang w:val="en-GB"/>
        </w:rPr>
        <w:t>emissions</w:t>
      </w:r>
    </w:p>
    <w:p w14:paraId="5C824859" w14:textId="0EBBC335" w:rsidR="0013072A" w:rsidRPr="00427A31" w:rsidRDefault="007643D9" w:rsidP="0013072A">
      <w:pPr>
        <w:pStyle w:val="Paragraphedeliste"/>
        <w:numPr>
          <w:ilvl w:val="0"/>
          <w:numId w:val="2"/>
        </w:numPr>
        <w:rPr>
          <w:lang w:val="en-GB"/>
        </w:rPr>
      </w:pPr>
      <w:r w:rsidRPr="00427A31">
        <w:rPr>
          <w:lang w:val="en-GB"/>
        </w:rPr>
        <w:t>Compare 5th generation networks to other DHC networks</w:t>
      </w:r>
    </w:p>
    <w:p w14:paraId="543C7AFB" w14:textId="77777777" w:rsidR="0013072A" w:rsidRPr="00427A31" w:rsidRDefault="0013072A" w:rsidP="0013072A">
      <w:pPr>
        <w:pStyle w:val="Paragraphedeliste"/>
        <w:rPr>
          <w:lang w:val="en-GB"/>
        </w:rPr>
      </w:pPr>
    </w:p>
    <w:p w14:paraId="06902BA0" w14:textId="6C7835CD" w:rsidR="00B57AA7" w:rsidRPr="00427A31" w:rsidRDefault="009A4EF7" w:rsidP="00B57AA7">
      <w:pPr>
        <w:pStyle w:val="Paragraphedeliste"/>
        <w:numPr>
          <w:ilvl w:val="0"/>
          <w:numId w:val="1"/>
        </w:numPr>
        <w:rPr>
          <w:lang w:val="en-GB"/>
        </w:rPr>
      </w:pPr>
      <w:r w:rsidRPr="00427A31">
        <w:rPr>
          <w:lang w:val="en-GB"/>
        </w:rPr>
        <w:t>Methodology</w:t>
      </w:r>
    </w:p>
    <w:p w14:paraId="1512C6DC" w14:textId="3C67302A" w:rsidR="00813F87" w:rsidRPr="00813F87" w:rsidRDefault="00813F87" w:rsidP="00813F87">
      <w:pPr>
        <w:rPr>
          <w:lang w:val="en-GB"/>
        </w:rPr>
      </w:pPr>
      <w:r w:rsidRPr="00813F87">
        <w:rPr>
          <w:lang w:val="en-GB"/>
        </w:rPr>
        <w:t xml:space="preserve">Based on discussions with project partners, the following </w:t>
      </w:r>
      <w:r w:rsidR="00F114EB">
        <w:rPr>
          <w:lang w:val="en-GB"/>
        </w:rPr>
        <w:t>decisions</w:t>
      </w:r>
      <w:r w:rsidRPr="00813F87">
        <w:rPr>
          <w:lang w:val="en-GB"/>
        </w:rPr>
        <w:t xml:space="preserve"> were made:</w:t>
      </w:r>
      <w:r w:rsidRPr="00813F87">
        <w:rPr>
          <w:lang w:val="en-GB"/>
        </w:rPr>
        <w:tab/>
      </w:r>
    </w:p>
    <w:p w14:paraId="657E5B06" w14:textId="313A4E5E" w:rsidR="002505D6" w:rsidRDefault="002505D6" w:rsidP="00511955">
      <w:pPr>
        <w:pStyle w:val="Paragraphedeliste"/>
        <w:numPr>
          <w:ilvl w:val="0"/>
          <w:numId w:val="2"/>
        </w:numPr>
        <w:rPr>
          <w:lang w:val="en-GB"/>
        </w:rPr>
      </w:pPr>
      <w:r w:rsidRPr="0034536F">
        <w:rPr>
          <w:lang w:val="en-GB"/>
        </w:rPr>
        <w:t xml:space="preserve">Only GHG emissions from the different energy sources </w:t>
      </w:r>
      <w:r w:rsidR="007A1234" w:rsidRPr="0034536F">
        <w:rPr>
          <w:lang w:val="en-GB"/>
        </w:rPr>
        <w:t xml:space="preserve">necessary for the grid are taken into account. </w:t>
      </w:r>
      <w:r w:rsidR="007A1234" w:rsidRPr="0034536F">
        <w:rPr>
          <w:lang w:val="en-GB"/>
        </w:rPr>
        <w:t>Grey emissions</w:t>
      </w:r>
      <w:r w:rsidR="007A1234" w:rsidRPr="0034536F">
        <w:rPr>
          <w:lang w:val="en-GB"/>
        </w:rPr>
        <w:t xml:space="preserve"> (</w:t>
      </w:r>
      <w:r w:rsidR="007A1234" w:rsidRPr="0034536F">
        <w:rPr>
          <w:lang w:val="en-GB"/>
        </w:rPr>
        <w:t>all emissions linked to upstream activities necessary to produce energy</w:t>
      </w:r>
      <w:r w:rsidR="0034536F" w:rsidRPr="0034536F">
        <w:rPr>
          <w:lang w:val="en-GB"/>
        </w:rPr>
        <w:t xml:space="preserve"> as </w:t>
      </w:r>
      <w:r w:rsidR="007A1234" w:rsidRPr="0034536F">
        <w:rPr>
          <w:lang w:val="en-GB"/>
        </w:rPr>
        <w:t>the construction of energy plants and energy production equipment, transportation of energy carriers</w:t>
      </w:r>
      <w:r w:rsidR="0034536F" w:rsidRPr="0034536F">
        <w:rPr>
          <w:lang w:val="en-GB"/>
        </w:rPr>
        <w:t xml:space="preserve">) </w:t>
      </w:r>
      <w:r w:rsidR="0034536F">
        <w:rPr>
          <w:lang w:val="en-GB"/>
        </w:rPr>
        <w:t>are</w:t>
      </w:r>
      <w:r w:rsidR="007A1234" w:rsidRPr="0034536F">
        <w:rPr>
          <w:lang w:val="en-GB"/>
        </w:rPr>
        <w:t xml:space="preserve"> not included in this version of the calculation model</w:t>
      </w:r>
      <w:r w:rsidR="0034536F">
        <w:rPr>
          <w:lang w:val="en-GB"/>
        </w:rPr>
        <w:t>. It</w:t>
      </w:r>
      <w:r w:rsidR="007A1234" w:rsidRPr="0034536F">
        <w:rPr>
          <w:lang w:val="en-GB"/>
        </w:rPr>
        <w:t xml:space="preserve"> may be included in a further version.</w:t>
      </w:r>
    </w:p>
    <w:p w14:paraId="204803FA" w14:textId="488EF673" w:rsidR="006E7F3E" w:rsidRPr="002D60A5" w:rsidRDefault="002D60A5" w:rsidP="00860368">
      <w:pPr>
        <w:pStyle w:val="Paragraphedeliste"/>
        <w:numPr>
          <w:ilvl w:val="0"/>
          <w:numId w:val="2"/>
        </w:numPr>
        <w:rPr>
          <w:lang w:val="en-GB"/>
        </w:rPr>
      </w:pPr>
      <w:r w:rsidRPr="002D60A5">
        <w:rPr>
          <w:lang w:val="en-GB"/>
        </w:rPr>
        <w:t xml:space="preserve">Fossil and biogenic emissions were considered separately. </w:t>
      </w:r>
      <w:r w:rsidR="006E7F3E" w:rsidRPr="002D60A5">
        <w:rPr>
          <w:lang w:val="en-GB"/>
        </w:rPr>
        <w:t>Fossil emissions include emissions of GHGs linked to burning of fossil fuels or to generation of GHG that are were not included in the biogenic cycle of carbon</w:t>
      </w:r>
      <w:r>
        <w:rPr>
          <w:lang w:val="en-GB"/>
        </w:rPr>
        <w:t xml:space="preserve">. </w:t>
      </w:r>
      <w:r w:rsidR="006E7F3E" w:rsidRPr="002D60A5">
        <w:rPr>
          <w:lang w:val="en-GB"/>
        </w:rPr>
        <w:t>Biogenic emissions</w:t>
      </w:r>
      <w:r>
        <w:rPr>
          <w:lang w:val="en-GB"/>
        </w:rPr>
        <w:t>: w</w:t>
      </w:r>
      <w:r w:rsidR="006E7F3E" w:rsidRPr="002D60A5">
        <w:rPr>
          <w:lang w:val="en-GB"/>
        </w:rPr>
        <w:t>hen currting biomass such as crops or wood, it is considered that all carbon they had previously sequestered during their lifecycle is emitted in the form of biogenic CO2 when burned.</w:t>
      </w:r>
    </w:p>
    <w:p w14:paraId="6AFA78C0" w14:textId="77777777" w:rsidR="00AB65C3" w:rsidRDefault="002505D6" w:rsidP="00D037EE">
      <w:pPr>
        <w:pStyle w:val="Paragraphedeliste"/>
        <w:numPr>
          <w:ilvl w:val="0"/>
          <w:numId w:val="2"/>
        </w:numPr>
        <w:rPr>
          <w:lang w:val="en-GB"/>
        </w:rPr>
      </w:pPr>
      <w:r w:rsidRPr="00890C64">
        <w:t xml:space="preserve">The carbon intensity of energy was defined </w:t>
      </w:r>
      <w:r>
        <w:t xml:space="preserve">by partners </w:t>
      </w:r>
      <w:r w:rsidRPr="00890C64">
        <w:t>as the ratio between total GHG emissions and total energy delivered.</w:t>
      </w:r>
      <w:r>
        <w:t xml:space="preserve"> </w:t>
      </w:r>
      <w:r w:rsidR="00813F87" w:rsidRPr="00AB65C3">
        <w:rPr>
          <w:lang w:val="en-GB"/>
        </w:rPr>
        <w:t>In this regard, we do not take into account that heating, cooling or domestic water may be produced differently and therefore may have different carbon intensity.</w:t>
      </w:r>
      <w:r w:rsidR="0034536F" w:rsidRPr="00AB65C3">
        <w:rPr>
          <w:lang w:val="en-GB"/>
        </w:rPr>
        <w:t xml:space="preserve"> H</w:t>
      </w:r>
      <w:r w:rsidR="00813F87" w:rsidRPr="00AB65C3">
        <w:rPr>
          <w:lang w:val="en-GB"/>
        </w:rPr>
        <w:t>eating, cooling and DHW are all necessary to preserve the system efficiency, therefore, the inte</w:t>
      </w:r>
      <w:r w:rsidR="00AB65C3" w:rsidRPr="00AB65C3">
        <w:rPr>
          <w:lang w:val="en-GB"/>
        </w:rPr>
        <w:t>n</w:t>
      </w:r>
      <w:r w:rsidR="00813F87" w:rsidRPr="00AB65C3">
        <w:rPr>
          <w:lang w:val="en-GB"/>
        </w:rPr>
        <w:t>sity is the same for all energy types.</w:t>
      </w:r>
    </w:p>
    <w:p w14:paraId="59998598" w14:textId="77777777" w:rsidR="007C3404" w:rsidRDefault="00813F87" w:rsidP="00DD52EB">
      <w:pPr>
        <w:pStyle w:val="Paragraphedeliste"/>
        <w:numPr>
          <w:ilvl w:val="0"/>
          <w:numId w:val="2"/>
        </w:numPr>
        <w:rPr>
          <w:lang w:val="en-GB"/>
        </w:rPr>
      </w:pPr>
      <w:r w:rsidRPr="007C3404">
        <w:rPr>
          <w:lang w:val="en-GB"/>
        </w:rPr>
        <w:t>Carbon from electricity</w:t>
      </w:r>
      <w:r w:rsidR="00AB65C3" w:rsidRPr="007C3404">
        <w:rPr>
          <w:lang w:val="en-GB"/>
        </w:rPr>
        <w:t>: w</w:t>
      </w:r>
      <w:r w:rsidRPr="007C3404">
        <w:rPr>
          <w:lang w:val="en-GB"/>
        </w:rPr>
        <w:t>e assume that the carbon intensity of national electricity mixes are equivalent to the intensity of the production mix.</w:t>
      </w:r>
      <w:r w:rsidR="00D329A8" w:rsidRPr="007C3404">
        <w:rPr>
          <w:lang w:val="en-GB"/>
        </w:rPr>
        <w:t xml:space="preserve"> </w:t>
      </w:r>
      <w:r w:rsidRPr="007C3404">
        <w:rPr>
          <w:lang w:val="en-GB"/>
        </w:rPr>
        <w:t>This model could be finetuned by using the actual consumption mix rather than the production mix (the consumption mix includes transnational power exchange)</w:t>
      </w:r>
      <w:r w:rsidR="00D329A8" w:rsidRPr="007C3404">
        <w:rPr>
          <w:lang w:val="en-GB"/>
        </w:rPr>
        <w:t>.</w:t>
      </w:r>
    </w:p>
    <w:p w14:paraId="11EF9D35" w14:textId="28BAB1F3" w:rsidR="007C3404" w:rsidRPr="00154869" w:rsidRDefault="00813F87" w:rsidP="00062ED0">
      <w:pPr>
        <w:pStyle w:val="Paragraphedeliste"/>
        <w:numPr>
          <w:ilvl w:val="0"/>
          <w:numId w:val="2"/>
        </w:numPr>
        <w:rPr>
          <w:lang w:val="en-GB"/>
        </w:rPr>
      </w:pPr>
      <w:r w:rsidRPr="00154869">
        <w:rPr>
          <w:lang w:val="en-GB"/>
        </w:rPr>
        <w:t>Heat storage</w:t>
      </w:r>
      <w:r w:rsidR="00154869" w:rsidRPr="00154869">
        <w:rPr>
          <w:lang w:val="en-GB"/>
        </w:rPr>
        <w:t xml:space="preserve">: </w:t>
      </w:r>
      <w:r w:rsidRPr="00154869">
        <w:rPr>
          <w:lang w:val="en-GB"/>
        </w:rPr>
        <w:t>Heat storage allows to store heat that may not be useful at any given time, to use it later.</w:t>
      </w:r>
      <w:r w:rsidR="00154869" w:rsidRPr="00154869">
        <w:rPr>
          <w:lang w:val="en-GB"/>
        </w:rPr>
        <w:t xml:space="preserve"> </w:t>
      </w:r>
      <w:r w:rsidR="007C3404" w:rsidRPr="00154869">
        <w:rPr>
          <w:lang w:val="en-GB"/>
        </w:rPr>
        <w:t>In the production estimation calculations, we estimate that we cannot use 100% of the source capacity due to the impossibility to fully balance production &amp; demand.</w:t>
      </w:r>
      <w:r w:rsidR="00154869" w:rsidRPr="00154869">
        <w:rPr>
          <w:lang w:val="en-GB"/>
        </w:rPr>
        <w:t xml:space="preserve"> </w:t>
      </w:r>
      <w:r w:rsidR="007C3404" w:rsidRPr="00154869">
        <w:rPr>
          <w:lang w:val="en-GB"/>
        </w:rPr>
        <w:t>We therefore estimate that about 70% of the total capacity of the source can be harnessed over the year.</w:t>
      </w:r>
      <w:r w:rsidR="00154869">
        <w:rPr>
          <w:lang w:val="en-GB"/>
        </w:rPr>
        <w:t xml:space="preserve"> </w:t>
      </w:r>
      <w:r w:rsidR="007C3404" w:rsidRPr="00154869">
        <w:rPr>
          <w:lang w:val="en-GB"/>
        </w:rPr>
        <w:t>If storage is implemented, we estimate that about 90% of the capacity can be used.</w:t>
      </w:r>
      <w:r w:rsidR="007C3404" w:rsidRPr="00154869">
        <w:rPr>
          <w:lang w:val="en-GB"/>
        </w:rPr>
        <w:tab/>
      </w:r>
    </w:p>
    <w:p w14:paraId="3C8A2D7E" w14:textId="18CD06A0" w:rsidR="009A4EF7" w:rsidRPr="00427A31" w:rsidRDefault="00427A31" w:rsidP="009A4EF7">
      <w:pPr>
        <w:rPr>
          <w:lang w:val="en-GB"/>
        </w:rPr>
      </w:pPr>
      <w:r>
        <w:rPr>
          <w:lang w:val="en-GB"/>
        </w:rPr>
        <w:t xml:space="preserve">The </w:t>
      </w:r>
      <w:r w:rsidR="00F76CF7">
        <w:rPr>
          <w:lang w:val="en-GB"/>
        </w:rPr>
        <w:t xml:space="preserve">annual </w:t>
      </w:r>
      <w:r>
        <w:rPr>
          <w:lang w:val="en-GB"/>
        </w:rPr>
        <w:t xml:space="preserve">GHG emissions of a </w:t>
      </w:r>
      <w:r w:rsidR="00F76CF7">
        <w:rPr>
          <w:lang w:val="en-GB"/>
        </w:rPr>
        <w:t>5G grid are calculated as follow:</w:t>
      </w:r>
    </w:p>
    <w:p w14:paraId="1C001331" w14:textId="253DFAFF" w:rsidR="009A4EF7" w:rsidRPr="00427A31" w:rsidRDefault="009A4EF7" w:rsidP="009A4EF7">
      <w:pPr>
        <w:rPr>
          <w:rFonts w:eastAsiaTheme="minorEastAsia"/>
          <w:lang w:val="en-GB"/>
        </w:rPr>
      </w:pPr>
      <m:oMathPara>
        <m:oMath>
          <m:r>
            <w:rPr>
              <w:rFonts w:ascii="Cambria Math" w:hAnsi="Cambria Math"/>
              <w:lang w:val="en-GB"/>
            </w:rPr>
            <m:t>GH</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total</m:t>
              </m:r>
            </m:sub>
          </m:sSub>
          <m:r>
            <w:rPr>
              <w:rFonts w:ascii="Cambria Math" w:hAnsi="Cambria Math"/>
              <w:lang w:val="en-GB"/>
            </w:rPr>
            <m:t>=</m:t>
          </m:r>
          <m:nary>
            <m:naryPr>
              <m:chr m:val="∑"/>
              <m:limLoc m:val="undOvr"/>
              <m:subHide m:val="1"/>
              <m:supHide m:val="1"/>
              <m:ctrlPr>
                <w:rPr>
                  <w:rFonts w:ascii="Cambria Math" w:hAnsi="Cambria Math"/>
                  <w:i/>
                  <w:lang w:val="en-GB"/>
                </w:rPr>
              </m:ctrlPr>
            </m:naryPr>
            <m:sub/>
            <m:sup/>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CC</m:t>
                  </m:r>
                </m:e>
                <m:sub>
                  <m:r>
                    <w:rPr>
                      <w:rFonts w:ascii="Cambria Math" w:hAnsi="Cambria Math"/>
                      <w:lang w:val="en-GB"/>
                    </w:rPr>
                    <m:t>i</m:t>
                  </m:r>
                </m:sub>
              </m:sSub>
            </m:e>
          </m:nary>
        </m:oMath>
      </m:oMathPara>
    </w:p>
    <w:p w14:paraId="49ECFF2A" w14:textId="294FC5F7" w:rsidR="009A4EF7" w:rsidRPr="00427A31" w:rsidRDefault="00F76CF7" w:rsidP="009A4EF7">
      <w:pPr>
        <w:rPr>
          <w:lang w:val="en-GB"/>
        </w:rPr>
      </w:pPr>
      <w:r>
        <w:rPr>
          <w:lang w:val="en-GB"/>
        </w:rPr>
        <w:t>With</w:t>
      </w:r>
    </w:p>
    <w:p w14:paraId="58B15F21" w14:textId="46E2ECA8" w:rsidR="009A4EF7" w:rsidRPr="00427A31" w:rsidRDefault="009A4EF7" w:rsidP="009A4EF7">
      <w:pPr>
        <w:rPr>
          <w:lang w:val="en-GB"/>
        </w:rPr>
      </w:pPr>
      <w:r w:rsidRPr="00427A31">
        <w:rPr>
          <w:lang w:val="en-GB"/>
        </w:rPr>
        <w:lastRenderedPageBreak/>
        <w:t>E</w:t>
      </w:r>
      <w:r w:rsidRPr="000A2211">
        <w:rPr>
          <w:vertAlign w:val="subscript"/>
          <w:lang w:val="en-GB"/>
        </w:rPr>
        <w:t>i</w:t>
      </w:r>
      <w:r w:rsidRPr="00427A31">
        <w:rPr>
          <w:lang w:val="en-GB"/>
        </w:rPr>
        <w:t xml:space="preserve"> = </w:t>
      </w:r>
      <w:r w:rsidR="000A2211">
        <w:rPr>
          <w:lang w:val="en-GB"/>
        </w:rPr>
        <w:t>energy consumed during a year for each source of energy</w:t>
      </w:r>
      <w:r w:rsidR="002B3B37">
        <w:rPr>
          <w:lang w:val="en-GB"/>
        </w:rPr>
        <w:t xml:space="preserve"> (kWh/year)</w:t>
      </w:r>
    </w:p>
    <w:p w14:paraId="5AB4F3D4" w14:textId="624C8E16" w:rsidR="009A4EF7" w:rsidRDefault="000A386E" w:rsidP="009A4EF7">
      <w:pPr>
        <w:rPr>
          <w:lang w:val="en-GB"/>
        </w:rPr>
      </w:pPr>
      <w:r>
        <w:rPr>
          <w:lang w:val="en-GB"/>
        </w:rPr>
        <w:t>CC</w:t>
      </w:r>
      <w:r w:rsidR="009A4EF7" w:rsidRPr="000A2211">
        <w:rPr>
          <w:vertAlign w:val="subscript"/>
          <w:lang w:val="en-GB"/>
        </w:rPr>
        <w:t>i</w:t>
      </w:r>
      <w:r w:rsidR="009A4EF7" w:rsidRPr="00427A31">
        <w:rPr>
          <w:lang w:val="en-GB"/>
        </w:rPr>
        <w:t xml:space="preserve"> = </w:t>
      </w:r>
      <w:r w:rsidR="000E3458">
        <w:rPr>
          <w:lang w:val="en-GB"/>
        </w:rPr>
        <w:t xml:space="preserve">carbon </w:t>
      </w:r>
      <w:r>
        <w:rPr>
          <w:lang w:val="en-GB"/>
        </w:rPr>
        <w:t>content</w:t>
      </w:r>
      <w:r w:rsidR="000E3458">
        <w:rPr>
          <w:lang w:val="en-GB"/>
        </w:rPr>
        <w:t xml:space="preserve"> of </w:t>
      </w:r>
      <w:r w:rsidR="000E3458">
        <w:rPr>
          <w:lang w:val="en-GB"/>
        </w:rPr>
        <w:t>each source of energy</w:t>
      </w:r>
      <w:r w:rsidR="002B3B37">
        <w:rPr>
          <w:lang w:val="en-GB"/>
        </w:rPr>
        <w:t xml:space="preserve"> (</w:t>
      </w:r>
      <w:r w:rsidR="002B3B37">
        <w:rPr>
          <w:lang w:val="en-GB"/>
        </w:rPr>
        <w:t>CO</w:t>
      </w:r>
      <w:r w:rsidR="002B3B37" w:rsidRPr="00CC47F8">
        <w:rPr>
          <w:vertAlign w:val="subscript"/>
          <w:lang w:val="en-GB"/>
        </w:rPr>
        <w:t>2e</w:t>
      </w:r>
      <w:r w:rsidR="002B3B37">
        <w:rPr>
          <w:lang w:val="en-GB"/>
        </w:rPr>
        <w:t>/</w:t>
      </w:r>
      <w:r w:rsidR="002B3B37">
        <w:rPr>
          <w:lang w:val="en-GB"/>
        </w:rPr>
        <w:t>kWh)</w:t>
      </w:r>
    </w:p>
    <w:p w14:paraId="350519A1" w14:textId="71F18802" w:rsidR="00CC47F8" w:rsidRDefault="00CC47F8" w:rsidP="009A4EF7">
      <w:pPr>
        <w:rPr>
          <w:lang w:val="en-GB"/>
        </w:rPr>
      </w:pPr>
      <w:r>
        <w:rPr>
          <w:lang w:val="en-GB"/>
        </w:rPr>
        <w:t>GHG in CO</w:t>
      </w:r>
      <w:r w:rsidRPr="00CC47F8">
        <w:rPr>
          <w:vertAlign w:val="subscript"/>
          <w:lang w:val="en-GB"/>
        </w:rPr>
        <w:t>2e</w:t>
      </w:r>
      <w:r>
        <w:rPr>
          <w:lang w:val="en-GB"/>
        </w:rPr>
        <w:t>/year</w:t>
      </w:r>
    </w:p>
    <w:p w14:paraId="59FBB9CC" w14:textId="77777777" w:rsidR="00AD0A54" w:rsidRDefault="00AD0A54" w:rsidP="009A4EF7">
      <w:pPr>
        <w:rPr>
          <w:lang w:val="en-GB"/>
        </w:rPr>
      </w:pPr>
    </w:p>
    <w:p w14:paraId="3EF915BC" w14:textId="29B51EDF" w:rsidR="00AD0A54" w:rsidRDefault="00AD0A54" w:rsidP="009A4EF7">
      <w:pPr>
        <w:rPr>
          <w:lang w:val="en-GB"/>
        </w:rPr>
      </w:pPr>
      <w:r>
        <w:rPr>
          <w:lang w:val="en-GB"/>
        </w:rPr>
        <w:t xml:space="preserve">All sources of </w:t>
      </w:r>
      <w:r w:rsidR="003019B6">
        <w:rPr>
          <w:lang w:val="en-GB"/>
        </w:rPr>
        <w:t xml:space="preserve">carbon content </w:t>
      </w:r>
      <w:r>
        <w:rPr>
          <w:lang w:val="en-GB"/>
        </w:rPr>
        <w:t>are specified in the CO2 tool.</w:t>
      </w:r>
    </w:p>
    <w:p w14:paraId="246E2336" w14:textId="108EF332" w:rsidR="003019B6" w:rsidRPr="00427A31" w:rsidRDefault="003019B6" w:rsidP="009A4EF7">
      <w:pPr>
        <w:rPr>
          <w:lang w:val="en-GB"/>
        </w:rPr>
      </w:pPr>
    </w:p>
    <w:p w14:paraId="0D8CC545" w14:textId="0858E44E" w:rsidR="00B57AA7" w:rsidRPr="00427A31" w:rsidRDefault="00B57AA7" w:rsidP="00B57AA7">
      <w:pPr>
        <w:pStyle w:val="Paragraphedeliste"/>
        <w:numPr>
          <w:ilvl w:val="0"/>
          <w:numId w:val="1"/>
        </w:numPr>
        <w:rPr>
          <w:lang w:val="en-GB"/>
        </w:rPr>
      </w:pPr>
      <w:r w:rsidRPr="00427A31">
        <w:rPr>
          <w:lang w:val="en-GB"/>
        </w:rPr>
        <w:t xml:space="preserve">How </w:t>
      </w:r>
      <w:r w:rsidR="002052B6">
        <w:rPr>
          <w:lang w:val="en-GB"/>
        </w:rPr>
        <w:t>the tool</w:t>
      </w:r>
      <w:r w:rsidRPr="00427A31">
        <w:rPr>
          <w:lang w:val="en-GB"/>
        </w:rPr>
        <w:t xml:space="preserve"> works</w:t>
      </w:r>
    </w:p>
    <w:p w14:paraId="3D07EEBF" w14:textId="1EC5A0A1" w:rsidR="00B57AA7" w:rsidRPr="00427A31" w:rsidRDefault="00B57AA7" w:rsidP="00B57AA7">
      <w:pPr>
        <w:rPr>
          <w:lang w:val="en-GB"/>
        </w:rPr>
      </w:pPr>
      <w:r w:rsidRPr="00427A31">
        <w:rPr>
          <w:lang w:val="en-GB"/>
        </w:rPr>
        <w:t>This model allows the user to input basic energy data</w:t>
      </w:r>
      <w:r w:rsidR="002052B6">
        <w:rPr>
          <w:lang w:val="en-GB"/>
        </w:rPr>
        <w:t xml:space="preserve"> </w:t>
      </w:r>
      <w:r w:rsidRPr="00427A31">
        <w:rPr>
          <w:lang w:val="en-GB"/>
        </w:rPr>
        <w:t>and calculates the GHG emissions of the network.</w:t>
      </w:r>
      <w:r w:rsidR="002052B6">
        <w:rPr>
          <w:lang w:val="en-GB"/>
        </w:rPr>
        <w:t xml:space="preserve"> </w:t>
      </w:r>
      <w:r w:rsidRPr="00427A31">
        <w:rPr>
          <w:lang w:val="en-GB"/>
        </w:rPr>
        <w:t>The model proposes 2 data input areas: one for the current situation, one for data following potential improvements to the network.</w:t>
      </w:r>
      <w:r w:rsidRPr="00427A31">
        <w:rPr>
          <w:lang w:val="en-GB"/>
        </w:rPr>
        <w:tab/>
      </w:r>
    </w:p>
    <w:p w14:paraId="794FE2BD" w14:textId="22D44EEE" w:rsidR="00B57AA7" w:rsidRPr="00427A31" w:rsidRDefault="00B57AA7" w:rsidP="00B57AA7">
      <w:pPr>
        <w:rPr>
          <w:lang w:val="en-GB"/>
        </w:rPr>
      </w:pPr>
      <w:r w:rsidRPr="00427A31">
        <w:rPr>
          <w:lang w:val="en-GB"/>
        </w:rPr>
        <w:t>It proposes a comparison of GHG emissions between the modelled network and other energy supply solutions.</w:t>
      </w:r>
      <w:r w:rsidRPr="00427A31">
        <w:rPr>
          <w:lang w:val="en-GB"/>
        </w:rPr>
        <w:tab/>
      </w:r>
    </w:p>
    <w:p w14:paraId="08BA5BC8" w14:textId="0B24F84B" w:rsidR="00B57AA7" w:rsidRPr="00427A31" w:rsidRDefault="00B57AA7" w:rsidP="00B57AA7">
      <w:pPr>
        <w:rPr>
          <w:lang w:val="en-GB"/>
        </w:rPr>
      </w:pPr>
      <w:r w:rsidRPr="00427A31">
        <w:rPr>
          <w:lang w:val="en-GB"/>
        </w:rPr>
        <w:t>Tabs</w:t>
      </w:r>
      <w:r w:rsidR="003E2E63">
        <w:rPr>
          <w:lang w:val="en-GB"/>
        </w:rPr>
        <w:t xml:space="preserve"> of the tool</w:t>
      </w:r>
      <w:r w:rsidRPr="00427A31">
        <w:rPr>
          <w:lang w:val="en-GB"/>
        </w:rPr>
        <w:tab/>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6993"/>
      </w:tblGrid>
      <w:tr w:rsidR="00B57AA7" w:rsidRPr="00B57AA7" w14:paraId="28A5EB2E" w14:textId="77777777" w:rsidTr="00C0515B">
        <w:trPr>
          <w:trHeight w:val="290"/>
        </w:trPr>
        <w:tc>
          <w:tcPr>
            <w:tcW w:w="2079" w:type="dxa"/>
            <w:shd w:val="clear" w:color="000000" w:fill="FFFFFF"/>
            <w:noWrap/>
            <w:vAlign w:val="bottom"/>
            <w:hideMark/>
          </w:tcPr>
          <w:p w14:paraId="618B41C5" w14:textId="77777777" w:rsidR="00B57AA7" w:rsidRPr="00B57AA7" w:rsidRDefault="00B57AA7" w:rsidP="00B57AA7">
            <w:pPr>
              <w:spacing w:after="0" w:line="240" w:lineRule="auto"/>
              <w:rPr>
                <w:rFonts w:ascii="Calibri" w:eastAsia="Times New Roman" w:hAnsi="Calibri" w:cs="Calibri"/>
                <w:b/>
                <w:bCs/>
                <w:color w:val="5B9BD5"/>
                <w:lang w:val="en-GB" w:eastAsia="fr-FR"/>
              </w:rPr>
            </w:pPr>
            <w:r w:rsidRPr="00B57AA7">
              <w:rPr>
                <w:rFonts w:ascii="Calibri" w:eastAsia="Times New Roman" w:hAnsi="Calibri" w:cs="Calibri"/>
                <w:b/>
                <w:bCs/>
                <w:color w:val="5B9BD5"/>
                <w:lang w:val="en-GB" w:eastAsia="fr-FR"/>
              </w:rPr>
              <w:t>Results</w:t>
            </w:r>
          </w:p>
        </w:tc>
        <w:tc>
          <w:tcPr>
            <w:tcW w:w="6993" w:type="dxa"/>
            <w:shd w:val="clear" w:color="000000" w:fill="FFFFFF"/>
            <w:noWrap/>
            <w:vAlign w:val="bottom"/>
            <w:hideMark/>
          </w:tcPr>
          <w:p w14:paraId="36670134"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Presents the results of the calculations.</w:t>
            </w:r>
          </w:p>
        </w:tc>
      </w:tr>
      <w:tr w:rsidR="00B57AA7" w:rsidRPr="00B57AA7" w14:paraId="232C0F39" w14:textId="77777777" w:rsidTr="00C0515B">
        <w:trPr>
          <w:trHeight w:val="290"/>
        </w:trPr>
        <w:tc>
          <w:tcPr>
            <w:tcW w:w="2079" w:type="dxa"/>
            <w:shd w:val="clear" w:color="000000" w:fill="FFFFFF"/>
            <w:noWrap/>
            <w:vAlign w:val="bottom"/>
            <w:hideMark/>
          </w:tcPr>
          <w:p w14:paraId="003BFB89" w14:textId="77777777" w:rsidR="00B57AA7" w:rsidRPr="00B57AA7" w:rsidRDefault="00B57AA7" w:rsidP="00B57AA7">
            <w:pPr>
              <w:spacing w:after="0" w:line="240" w:lineRule="auto"/>
              <w:rPr>
                <w:rFonts w:ascii="Calibri" w:eastAsia="Times New Roman" w:hAnsi="Calibri" w:cs="Calibri"/>
                <w:b/>
                <w:bCs/>
                <w:color w:val="70AD47"/>
                <w:lang w:val="en-GB" w:eastAsia="fr-FR"/>
              </w:rPr>
            </w:pPr>
            <w:r w:rsidRPr="00B57AA7">
              <w:rPr>
                <w:rFonts w:ascii="Calibri" w:eastAsia="Times New Roman" w:hAnsi="Calibri" w:cs="Calibri"/>
                <w:b/>
                <w:bCs/>
                <w:color w:val="70AD47"/>
                <w:lang w:val="en-GB" w:eastAsia="fr-FR"/>
              </w:rPr>
              <w:t>Input data</w:t>
            </w:r>
          </w:p>
        </w:tc>
        <w:tc>
          <w:tcPr>
            <w:tcW w:w="6993" w:type="dxa"/>
            <w:shd w:val="clear" w:color="000000" w:fill="FFFFFF"/>
            <w:noWrap/>
            <w:vAlign w:val="bottom"/>
            <w:hideMark/>
          </w:tcPr>
          <w:p w14:paraId="182D769C"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Collects data supplied by the user.</w:t>
            </w:r>
          </w:p>
        </w:tc>
      </w:tr>
      <w:tr w:rsidR="00B57AA7" w:rsidRPr="00B57AA7" w14:paraId="5170BDAB" w14:textId="77777777" w:rsidTr="00C0515B">
        <w:trPr>
          <w:trHeight w:val="290"/>
        </w:trPr>
        <w:tc>
          <w:tcPr>
            <w:tcW w:w="2079" w:type="dxa"/>
            <w:shd w:val="clear" w:color="000000" w:fill="FFFFFF"/>
            <w:noWrap/>
            <w:vAlign w:val="bottom"/>
            <w:hideMark/>
          </w:tcPr>
          <w:p w14:paraId="6C50C9AA" w14:textId="77777777" w:rsidR="00B57AA7" w:rsidRPr="00B57AA7" w:rsidRDefault="00B57AA7" w:rsidP="00B57AA7">
            <w:pPr>
              <w:spacing w:after="0" w:line="240" w:lineRule="auto"/>
              <w:rPr>
                <w:rFonts w:ascii="Calibri" w:eastAsia="Times New Roman" w:hAnsi="Calibri" w:cs="Calibri"/>
                <w:b/>
                <w:bCs/>
                <w:color w:val="70AD47"/>
                <w:lang w:val="en-GB" w:eastAsia="fr-FR"/>
              </w:rPr>
            </w:pPr>
            <w:r w:rsidRPr="00B57AA7">
              <w:rPr>
                <w:rFonts w:ascii="Calibri" w:eastAsia="Times New Roman" w:hAnsi="Calibri" w:cs="Calibri"/>
                <w:b/>
                <w:bCs/>
                <w:color w:val="70AD47"/>
                <w:lang w:val="en-GB" w:eastAsia="fr-FR"/>
              </w:rPr>
              <w:t>Demand estimation</w:t>
            </w:r>
          </w:p>
        </w:tc>
        <w:tc>
          <w:tcPr>
            <w:tcW w:w="6993" w:type="dxa"/>
            <w:shd w:val="clear" w:color="000000" w:fill="FFFFFF"/>
            <w:noWrap/>
            <w:vAlign w:val="bottom"/>
            <w:hideMark/>
          </w:tcPr>
          <w:p w14:paraId="72556781"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Can be used to estimate the energy demand for Sanitary Hot Water, space heating &amp; space cooling</w:t>
            </w:r>
          </w:p>
        </w:tc>
      </w:tr>
      <w:tr w:rsidR="00B57AA7" w:rsidRPr="00B57AA7" w14:paraId="222DA77C" w14:textId="77777777" w:rsidTr="00C0515B">
        <w:trPr>
          <w:trHeight w:val="290"/>
        </w:trPr>
        <w:tc>
          <w:tcPr>
            <w:tcW w:w="2079" w:type="dxa"/>
            <w:shd w:val="clear" w:color="000000" w:fill="FFFFFF"/>
            <w:noWrap/>
            <w:vAlign w:val="bottom"/>
            <w:hideMark/>
          </w:tcPr>
          <w:p w14:paraId="6D29220F" w14:textId="77777777" w:rsidR="00B57AA7" w:rsidRPr="00B57AA7" w:rsidRDefault="00B57AA7" w:rsidP="00B57AA7">
            <w:pPr>
              <w:spacing w:after="0" w:line="240" w:lineRule="auto"/>
              <w:rPr>
                <w:rFonts w:ascii="Calibri" w:eastAsia="Times New Roman" w:hAnsi="Calibri" w:cs="Calibri"/>
                <w:b/>
                <w:bCs/>
                <w:color w:val="70AD47"/>
                <w:lang w:val="en-GB" w:eastAsia="fr-FR"/>
              </w:rPr>
            </w:pPr>
            <w:r w:rsidRPr="00B57AA7">
              <w:rPr>
                <w:rFonts w:ascii="Calibri" w:eastAsia="Times New Roman" w:hAnsi="Calibri" w:cs="Calibri"/>
                <w:b/>
                <w:bCs/>
                <w:color w:val="70AD47"/>
                <w:lang w:val="en-GB" w:eastAsia="fr-FR"/>
              </w:rPr>
              <w:t>Production estimation</w:t>
            </w:r>
          </w:p>
        </w:tc>
        <w:tc>
          <w:tcPr>
            <w:tcW w:w="6993" w:type="dxa"/>
            <w:shd w:val="clear" w:color="000000" w:fill="FFFFFF"/>
            <w:noWrap/>
            <w:vAlign w:val="bottom"/>
            <w:hideMark/>
          </w:tcPr>
          <w:p w14:paraId="5E0C8A97"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Can be used to estimate the energy production available of the different renewable energy sources</w:t>
            </w:r>
          </w:p>
        </w:tc>
      </w:tr>
      <w:tr w:rsidR="00B57AA7" w:rsidRPr="00B57AA7" w14:paraId="7D1F7846" w14:textId="77777777" w:rsidTr="00C0515B">
        <w:trPr>
          <w:trHeight w:val="290"/>
        </w:trPr>
        <w:tc>
          <w:tcPr>
            <w:tcW w:w="2079" w:type="dxa"/>
            <w:shd w:val="clear" w:color="000000" w:fill="FFFFFF"/>
            <w:noWrap/>
            <w:vAlign w:val="bottom"/>
            <w:hideMark/>
          </w:tcPr>
          <w:p w14:paraId="4C7F17B6" w14:textId="77777777" w:rsidR="00B57AA7" w:rsidRPr="00B57AA7" w:rsidRDefault="00B57AA7" w:rsidP="00B57AA7">
            <w:pPr>
              <w:spacing w:after="0" w:line="240" w:lineRule="auto"/>
              <w:rPr>
                <w:rFonts w:ascii="Calibri" w:eastAsia="Times New Roman" w:hAnsi="Calibri" w:cs="Calibri"/>
                <w:b/>
                <w:bCs/>
                <w:color w:val="A5A5A5"/>
                <w:lang w:val="en-GB" w:eastAsia="fr-FR"/>
              </w:rPr>
            </w:pPr>
            <w:r w:rsidRPr="00B57AA7">
              <w:rPr>
                <w:rFonts w:ascii="Calibri" w:eastAsia="Times New Roman" w:hAnsi="Calibri" w:cs="Calibri"/>
                <w:b/>
                <w:bCs/>
                <w:color w:val="A5A5A5"/>
                <w:lang w:val="en-GB" w:eastAsia="fr-FR"/>
              </w:rPr>
              <w:t>Database</w:t>
            </w:r>
          </w:p>
        </w:tc>
        <w:tc>
          <w:tcPr>
            <w:tcW w:w="6993" w:type="dxa"/>
            <w:shd w:val="clear" w:color="000000" w:fill="FFFFFF"/>
            <w:noWrap/>
            <w:vAlign w:val="bottom"/>
            <w:hideMark/>
          </w:tcPr>
          <w:p w14:paraId="42BD8EE3"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Contains standard values and elements used for the calculations.</w:t>
            </w:r>
          </w:p>
        </w:tc>
      </w:tr>
    </w:tbl>
    <w:p w14:paraId="59CFF9EC" w14:textId="77777777" w:rsidR="00B57AA7" w:rsidRPr="00427A31" w:rsidRDefault="00B57AA7" w:rsidP="00B57AA7">
      <w:pPr>
        <w:rPr>
          <w:lang w:val="en-GB"/>
        </w:rPr>
      </w:pPr>
      <w:r w:rsidRPr="00427A31">
        <w:rPr>
          <w:lang w:val="en-GB"/>
        </w:rPr>
        <w:tab/>
      </w:r>
    </w:p>
    <w:p w14:paraId="1AB3BAF6" w14:textId="77777777" w:rsidR="00B57AA7" w:rsidRPr="00427A31" w:rsidRDefault="00B57AA7" w:rsidP="00B57AA7">
      <w:pPr>
        <w:rPr>
          <w:lang w:val="en-GB"/>
        </w:rPr>
      </w:pPr>
      <w:r w:rsidRPr="00427A31">
        <w:rPr>
          <w:lang w:val="en-GB"/>
        </w:rPr>
        <w:t>Usage</w:t>
      </w:r>
      <w:r w:rsidRPr="00427A31">
        <w:rPr>
          <w:lang w:val="en-GB"/>
        </w:rPr>
        <w:tab/>
      </w:r>
    </w:p>
    <w:tbl>
      <w:tblPr>
        <w:tblW w:w="7358" w:type="dxa"/>
        <w:tblCellMar>
          <w:left w:w="70" w:type="dxa"/>
          <w:right w:w="70" w:type="dxa"/>
        </w:tblCellMar>
        <w:tblLook w:val="04A0" w:firstRow="1" w:lastRow="0" w:firstColumn="1" w:lastColumn="0" w:noHBand="0" w:noVBand="1"/>
      </w:tblPr>
      <w:tblGrid>
        <w:gridCol w:w="2640"/>
        <w:gridCol w:w="4718"/>
      </w:tblGrid>
      <w:tr w:rsidR="00B57AA7" w:rsidRPr="00B57AA7" w14:paraId="0C167CBA" w14:textId="77777777" w:rsidTr="00B57AA7">
        <w:trPr>
          <w:trHeight w:val="290"/>
        </w:trPr>
        <w:tc>
          <w:tcPr>
            <w:tcW w:w="2640" w:type="dxa"/>
            <w:tcBorders>
              <w:top w:val="nil"/>
              <w:left w:val="nil"/>
              <w:bottom w:val="nil"/>
              <w:right w:val="nil"/>
            </w:tcBorders>
            <w:shd w:val="clear" w:color="000000" w:fill="C6E0B4"/>
            <w:noWrap/>
            <w:vAlign w:val="bottom"/>
            <w:hideMark/>
          </w:tcPr>
          <w:p w14:paraId="184203D1"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Green</w:t>
            </w:r>
          </w:p>
        </w:tc>
        <w:tc>
          <w:tcPr>
            <w:tcW w:w="4718" w:type="dxa"/>
            <w:tcBorders>
              <w:top w:val="nil"/>
              <w:left w:val="nil"/>
              <w:bottom w:val="nil"/>
              <w:right w:val="nil"/>
            </w:tcBorders>
            <w:shd w:val="clear" w:color="000000" w:fill="FFFFFF"/>
            <w:noWrap/>
            <w:vAlign w:val="bottom"/>
            <w:hideMark/>
          </w:tcPr>
          <w:p w14:paraId="3799386D"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These cells should be filled/modified by the user.</w:t>
            </w:r>
          </w:p>
        </w:tc>
      </w:tr>
      <w:tr w:rsidR="00B57AA7" w:rsidRPr="00B57AA7" w14:paraId="361C93CB" w14:textId="77777777" w:rsidTr="00B57AA7">
        <w:trPr>
          <w:trHeight w:val="290"/>
        </w:trPr>
        <w:tc>
          <w:tcPr>
            <w:tcW w:w="2640" w:type="dxa"/>
            <w:tcBorders>
              <w:top w:val="nil"/>
              <w:left w:val="nil"/>
              <w:bottom w:val="nil"/>
              <w:right w:val="nil"/>
            </w:tcBorders>
            <w:shd w:val="clear" w:color="000000" w:fill="C9C9C9"/>
            <w:noWrap/>
            <w:vAlign w:val="bottom"/>
            <w:hideMark/>
          </w:tcPr>
          <w:p w14:paraId="55BB97DA"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Grey</w:t>
            </w:r>
          </w:p>
        </w:tc>
        <w:tc>
          <w:tcPr>
            <w:tcW w:w="4718" w:type="dxa"/>
            <w:tcBorders>
              <w:top w:val="nil"/>
              <w:left w:val="nil"/>
              <w:bottom w:val="nil"/>
              <w:right w:val="nil"/>
            </w:tcBorders>
            <w:shd w:val="clear" w:color="000000" w:fill="FFFFFF"/>
            <w:noWrap/>
            <w:vAlign w:val="bottom"/>
            <w:hideMark/>
          </w:tcPr>
          <w:p w14:paraId="18BD6D73" w14:textId="77777777" w:rsidR="00B57AA7" w:rsidRPr="00B57AA7" w:rsidRDefault="00B57AA7" w:rsidP="00B57AA7">
            <w:pPr>
              <w:spacing w:after="0" w:line="240" w:lineRule="auto"/>
              <w:rPr>
                <w:rFonts w:ascii="Calibri" w:eastAsia="Times New Roman" w:hAnsi="Calibri" w:cs="Calibri"/>
                <w:color w:val="000000"/>
                <w:lang w:val="en-GB" w:eastAsia="fr-FR"/>
              </w:rPr>
            </w:pPr>
            <w:r w:rsidRPr="00B57AA7">
              <w:rPr>
                <w:rFonts w:ascii="Calibri" w:eastAsia="Times New Roman" w:hAnsi="Calibri" w:cs="Calibri"/>
                <w:color w:val="000000"/>
                <w:lang w:val="en-GB" w:eastAsia="fr-FR"/>
              </w:rPr>
              <w:t>These are automatically calculated or standard data.</w:t>
            </w:r>
          </w:p>
        </w:tc>
      </w:tr>
    </w:tbl>
    <w:p w14:paraId="54E7997A" w14:textId="77777777" w:rsidR="00B57AA7" w:rsidRPr="00427A31" w:rsidRDefault="00B57AA7" w:rsidP="00B57AA7">
      <w:pPr>
        <w:rPr>
          <w:lang w:val="en-GB"/>
        </w:rPr>
      </w:pPr>
      <w:r w:rsidRPr="00427A31">
        <w:rPr>
          <w:lang w:val="en-GB"/>
        </w:rPr>
        <w:tab/>
      </w:r>
    </w:p>
    <w:p w14:paraId="53F7BE6D" w14:textId="77777777" w:rsidR="00B57AA7" w:rsidRPr="00427A31" w:rsidRDefault="00B57AA7" w:rsidP="00B57AA7">
      <w:pPr>
        <w:rPr>
          <w:lang w:val="en-GB"/>
        </w:rPr>
      </w:pPr>
      <w:r w:rsidRPr="00427A31">
        <w:rPr>
          <w:lang w:val="en-GB"/>
        </w:rPr>
        <w:tab/>
      </w:r>
    </w:p>
    <w:sectPr w:rsidR="00B57AA7" w:rsidRPr="00427A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B86A9" w14:textId="77777777" w:rsidR="00890C64" w:rsidRDefault="00890C64" w:rsidP="00890C64">
      <w:pPr>
        <w:spacing w:after="0" w:line="240" w:lineRule="auto"/>
      </w:pPr>
      <w:r>
        <w:separator/>
      </w:r>
    </w:p>
  </w:endnote>
  <w:endnote w:type="continuationSeparator" w:id="0">
    <w:p w14:paraId="505A267F" w14:textId="77777777" w:rsidR="00890C64" w:rsidRDefault="00890C64" w:rsidP="0089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BE93" w14:textId="77777777" w:rsidR="00890C64" w:rsidRDefault="00890C64" w:rsidP="00890C64">
      <w:pPr>
        <w:spacing w:after="0" w:line="240" w:lineRule="auto"/>
      </w:pPr>
      <w:r>
        <w:separator/>
      </w:r>
    </w:p>
  </w:footnote>
  <w:footnote w:type="continuationSeparator" w:id="0">
    <w:p w14:paraId="3F739911" w14:textId="77777777" w:rsidR="00890C64" w:rsidRDefault="00890C64" w:rsidP="00890C64">
      <w:pPr>
        <w:spacing w:after="0" w:line="240" w:lineRule="auto"/>
      </w:pPr>
      <w:r>
        <w:continuationSeparator/>
      </w:r>
    </w:p>
  </w:footnote>
  <w:footnote w:id="1">
    <w:p w14:paraId="0BCF4FE9" w14:textId="0DCA0D77" w:rsidR="00890C64" w:rsidRDefault="00890C64">
      <w:pPr>
        <w:pStyle w:val="Notedebasdepage"/>
      </w:pPr>
      <w:r>
        <w:rPr>
          <w:rStyle w:val="Appelnotedebasdep"/>
        </w:rPr>
        <w:footnoteRef/>
      </w:r>
      <w:r>
        <w:t xml:space="preserve"> </w:t>
      </w:r>
      <w:r w:rsidRPr="00890C64">
        <w:t xml:space="preserve">The carbon intensity of energy was defined </w:t>
      </w:r>
      <w:r>
        <w:t xml:space="preserve">by partners </w:t>
      </w:r>
      <w:r w:rsidRPr="00890C64">
        <w:t>as the ratio between total GHG emissions and total energy delivered.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4A74"/>
    <w:multiLevelType w:val="hybridMultilevel"/>
    <w:tmpl w:val="E11EBB60"/>
    <w:lvl w:ilvl="0" w:tplc="6226BC0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BCD236D"/>
    <w:multiLevelType w:val="hybridMultilevel"/>
    <w:tmpl w:val="F8904E28"/>
    <w:lvl w:ilvl="0" w:tplc="3B7695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A7"/>
    <w:rsid w:val="000A2211"/>
    <w:rsid w:val="000A386E"/>
    <w:rsid w:val="000E3458"/>
    <w:rsid w:val="0013072A"/>
    <w:rsid w:val="00154869"/>
    <w:rsid w:val="002052B6"/>
    <w:rsid w:val="002505D6"/>
    <w:rsid w:val="002B3B37"/>
    <w:rsid w:val="002D60A5"/>
    <w:rsid w:val="003019B6"/>
    <w:rsid w:val="00320B83"/>
    <w:rsid w:val="0034536F"/>
    <w:rsid w:val="003E2E63"/>
    <w:rsid w:val="00427A31"/>
    <w:rsid w:val="00490DB7"/>
    <w:rsid w:val="00515B76"/>
    <w:rsid w:val="00580D30"/>
    <w:rsid w:val="006E7F3E"/>
    <w:rsid w:val="007643D9"/>
    <w:rsid w:val="007A1234"/>
    <w:rsid w:val="007C3404"/>
    <w:rsid w:val="00813F87"/>
    <w:rsid w:val="00890C64"/>
    <w:rsid w:val="009A4EF7"/>
    <w:rsid w:val="00A905D3"/>
    <w:rsid w:val="00AB65C3"/>
    <w:rsid w:val="00AD0A54"/>
    <w:rsid w:val="00B57AA7"/>
    <w:rsid w:val="00BD3373"/>
    <w:rsid w:val="00C0515B"/>
    <w:rsid w:val="00CC47F8"/>
    <w:rsid w:val="00D329A8"/>
    <w:rsid w:val="00F114EB"/>
    <w:rsid w:val="00F7215F"/>
    <w:rsid w:val="00F76CF7"/>
    <w:rsid w:val="00F9048C"/>
    <w:rsid w:val="00FD5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CA4F"/>
  <w15:chartTrackingRefBased/>
  <w15:docId w15:val="{C99BBF13-869D-4595-976B-2F32B43E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AA7"/>
    <w:pPr>
      <w:ind w:left="720"/>
      <w:contextualSpacing/>
    </w:pPr>
  </w:style>
  <w:style w:type="paragraph" w:styleId="Notedebasdepage">
    <w:name w:val="footnote text"/>
    <w:basedOn w:val="Normal"/>
    <w:link w:val="NotedebasdepageCar"/>
    <w:uiPriority w:val="99"/>
    <w:semiHidden/>
    <w:unhideWhenUsed/>
    <w:rsid w:val="00890C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C64"/>
    <w:rPr>
      <w:sz w:val="20"/>
      <w:szCs w:val="20"/>
    </w:rPr>
  </w:style>
  <w:style w:type="character" w:styleId="Appelnotedebasdep">
    <w:name w:val="footnote reference"/>
    <w:basedOn w:val="Policepardfaut"/>
    <w:uiPriority w:val="99"/>
    <w:semiHidden/>
    <w:unhideWhenUsed/>
    <w:rsid w:val="008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6388">
      <w:bodyDiv w:val="1"/>
      <w:marLeft w:val="0"/>
      <w:marRight w:val="0"/>
      <w:marTop w:val="0"/>
      <w:marBottom w:val="0"/>
      <w:divBdr>
        <w:top w:val="none" w:sz="0" w:space="0" w:color="auto"/>
        <w:left w:val="none" w:sz="0" w:space="0" w:color="auto"/>
        <w:bottom w:val="none" w:sz="0" w:space="0" w:color="auto"/>
        <w:right w:val="none" w:sz="0" w:space="0" w:color="auto"/>
      </w:divBdr>
    </w:div>
    <w:div w:id="677733732">
      <w:bodyDiv w:val="1"/>
      <w:marLeft w:val="0"/>
      <w:marRight w:val="0"/>
      <w:marTop w:val="0"/>
      <w:marBottom w:val="0"/>
      <w:divBdr>
        <w:top w:val="none" w:sz="0" w:space="0" w:color="auto"/>
        <w:left w:val="none" w:sz="0" w:space="0" w:color="auto"/>
        <w:bottom w:val="none" w:sz="0" w:space="0" w:color="auto"/>
        <w:right w:val="none" w:sz="0" w:space="0" w:color="auto"/>
      </w:divBdr>
    </w:div>
    <w:div w:id="1708524197">
      <w:bodyDiv w:val="1"/>
      <w:marLeft w:val="0"/>
      <w:marRight w:val="0"/>
      <w:marTop w:val="0"/>
      <w:marBottom w:val="0"/>
      <w:divBdr>
        <w:top w:val="none" w:sz="0" w:space="0" w:color="auto"/>
        <w:left w:val="none" w:sz="0" w:space="0" w:color="auto"/>
        <w:bottom w:val="none" w:sz="0" w:space="0" w:color="auto"/>
        <w:right w:val="none" w:sz="0" w:space="0" w:color="auto"/>
      </w:divBdr>
      <w:divsChild>
        <w:div w:id="878930637">
          <w:marLeft w:val="547"/>
          <w:marRight w:val="0"/>
          <w:marTop w:val="0"/>
          <w:marBottom w:val="0"/>
          <w:divBdr>
            <w:top w:val="none" w:sz="0" w:space="0" w:color="auto"/>
            <w:left w:val="none" w:sz="0" w:space="0" w:color="auto"/>
            <w:bottom w:val="none" w:sz="0" w:space="0" w:color="auto"/>
            <w:right w:val="none" w:sz="0" w:space="0" w:color="auto"/>
          </w:divBdr>
        </w:div>
        <w:div w:id="693387835">
          <w:marLeft w:val="547"/>
          <w:marRight w:val="0"/>
          <w:marTop w:val="0"/>
          <w:marBottom w:val="0"/>
          <w:divBdr>
            <w:top w:val="none" w:sz="0" w:space="0" w:color="auto"/>
            <w:left w:val="none" w:sz="0" w:space="0" w:color="auto"/>
            <w:bottom w:val="none" w:sz="0" w:space="0" w:color="auto"/>
            <w:right w:val="none" w:sz="0" w:space="0" w:color="auto"/>
          </w:divBdr>
        </w:div>
        <w:div w:id="316499659">
          <w:marLeft w:val="547"/>
          <w:marRight w:val="0"/>
          <w:marTop w:val="0"/>
          <w:marBottom w:val="0"/>
          <w:divBdr>
            <w:top w:val="none" w:sz="0" w:space="0" w:color="auto"/>
            <w:left w:val="none" w:sz="0" w:space="0" w:color="auto"/>
            <w:bottom w:val="none" w:sz="0" w:space="0" w:color="auto"/>
            <w:right w:val="none" w:sz="0" w:space="0" w:color="auto"/>
          </w:divBdr>
        </w:div>
        <w:div w:id="684794184">
          <w:marLeft w:val="547"/>
          <w:marRight w:val="0"/>
          <w:marTop w:val="0"/>
          <w:marBottom w:val="0"/>
          <w:divBdr>
            <w:top w:val="none" w:sz="0" w:space="0" w:color="auto"/>
            <w:left w:val="none" w:sz="0" w:space="0" w:color="auto"/>
            <w:bottom w:val="none" w:sz="0" w:space="0" w:color="auto"/>
            <w:right w:val="none" w:sz="0" w:space="0" w:color="auto"/>
          </w:divBdr>
        </w:div>
      </w:divsChild>
    </w:div>
    <w:div w:id="19247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894BB50B267A47835424617E5CA4C1" ma:contentTypeVersion="" ma:contentTypeDescription="Crée un document." ma:contentTypeScope="" ma:versionID="4198dbcef0dce0954aa9797d245f7e0e">
  <xsd:schema xmlns:xsd="http://www.w3.org/2001/XMLSchema" xmlns:xs="http://www.w3.org/2001/XMLSchema" xmlns:p="http://schemas.microsoft.com/office/2006/metadata/properties" xmlns:ns2="5ba4c8bd-e79e-4d0e-9847-8153f9f56e69" xmlns:ns3="54d195b3-1daf-4b15-b88d-1a4a6eb7f273" targetNamespace="http://schemas.microsoft.com/office/2006/metadata/properties" ma:root="true" ma:fieldsID="2fd517ba4fbfa0917e867e83e3d517d6" ns2:_="" ns3:_="">
    <xsd:import namespace="5ba4c8bd-e79e-4d0e-9847-8153f9f56e69"/>
    <xsd:import namespace="54d195b3-1daf-4b15-b88d-1a4a6eb7f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4c8bd-e79e-4d0e-9847-8153f9f5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737c3cf-1ddb-4493-b288-bd33a290139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d195b3-1daf-4b15-b88d-1a4a6eb7f2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1a0a44-00fd-4a79-9aee-6069b2f6bf59}" ma:internalName="TaxCatchAll" ma:showField="CatchAllData" ma:web="54d195b3-1daf-4b15-b88d-1a4a6eb7f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d195b3-1daf-4b15-b88d-1a4a6eb7f273" xsi:nil="true"/>
    <lcf76f155ced4ddcb4097134ff3c332f xmlns="5ba4c8bd-e79e-4d0e-9847-8153f9f56e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106B2-A2C9-4A53-99CE-752838E9E0F5}">
  <ds:schemaRefs>
    <ds:schemaRef ds:uri="http://schemas.openxmlformats.org/officeDocument/2006/bibliography"/>
  </ds:schemaRefs>
</ds:datastoreItem>
</file>

<file path=customXml/itemProps2.xml><?xml version="1.0" encoding="utf-8"?>
<ds:datastoreItem xmlns:ds="http://schemas.openxmlformats.org/officeDocument/2006/customXml" ds:itemID="{2EBBB0C3-217D-4C6A-9E8C-E2686077EB8E}"/>
</file>

<file path=customXml/itemProps3.xml><?xml version="1.0" encoding="utf-8"?>
<ds:datastoreItem xmlns:ds="http://schemas.openxmlformats.org/officeDocument/2006/customXml" ds:itemID="{54E530E6-06BC-48E0-8EF0-6E934BB79AD1}"/>
</file>

<file path=customXml/itemProps4.xml><?xml version="1.0" encoding="utf-8"?>
<ds:datastoreItem xmlns:ds="http://schemas.openxmlformats.org/officeDocument/2006/customXml" ds:itemID="{A098AEBD-5BBD-424A-A9A1-1F7136EAF812}"/>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Henry</dc:creator>
  <cp:keywords/>
  <dc:description/>
  <cp:lastModifiedBy>Mathilde Henry</cp:lastModifiedBy>
  <cp:revision>36</cp:revision>
  <dcterms:created xsi:type="dcterms:W3CDTF">2021-08-30T08:27:00Z</dcterms:created>
  <dcterms:modified xsi:type="dcterms:W3CDTF">2021-08-30T09:12:00Z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0x01010094894BB50B267A47835424617E5CA4C1</vt:lpwstr>
  </property>
</Properties>
</file>